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6C9" w:rsidRDefault="005B56C9" w:rsidP="005B56C9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МСФО </w:t>
      </w:r>
      <w:proofErr w:type="gramStart"/>
      <w:r w:rsidRPr="005B56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5B5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учете хозяйственных средств и источников их образования </w:t>
      </w:r>
    </w:p>
    <w:p w:rsidR="005B56C9" w:rsidRPr="005B56C9" w:rsidRDefault="005B56C9" w:rsidP="005B56C9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6C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теме курсовой работы)</w:t>
      </w:r>
    </w:p>
    <w:p w:rsidR="000E5821" w:rsidRDefault="000E5821"/>
    <w:p w:rsidR="005B56C9" w:rsidRDefault="005B56C9"/>
    <w:tbl>
      <w:tblPr>
        <w:tblStyle w:val="a3"/>
        <w:tblW w:w="10138" w:type="dxa"/>
        <w:tblLook w:val="04A0"/>
      </w:tblPr>
      <w:tblGrid>
        <w:gridCol w:w="6062"/>
        <w:gridCol w:w="4076"/>
      </w:tblGrid>
      <w:tr w:rsidR="005B56C9" w:rsidRPr="007937E5" w:rsidTr="007937E5">
        <w:trPr>
          <w:trHeight w:val="600"/>
        </w:trPr>
        <w:tc>
          <w:tcPr>
            <w:tcW w:w="6062" w:type="dxa"/>
          </w:tcPr>
          <w:p w:rsidR="005B56C9" w:rsidRPr="007937E5" w:rsidRDefault="005B56C9" w:rsidP="000E7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Курстық жобалардың (жұмыстардың) тақырыптары</w:t>
            </w:r>
          </w:p>
          <w:p w:rsidR="005B56C9" w:rsidRPr="007937E5" w:rsidRDefault="005B56C9" w:rsidP="000E7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Тематика курсовых проектов (работ)</w:t>
            </w:r>
          </w:p>
        </w:tc>
        <w:tc>
          <w:tcPr>
            <w:tcW w:w="4076" w:type="dxa"/>
          </w:tcPr>
          <w:p w:rsidR="005B56C9" w:rsidRPr="007937E5" w:rsidRDefault="00293ADB" w:rsidP="000E77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Стандарты МСФО</w:t>
            </w:r>
          </w:p>
        </w:tc>
      </w:tr>
      <w:tr w:rsidR="005B56C9" w:rsidRPr="007937E5" w:rsidTr="007937E5">
        <w:trPr>
          <w:trHeight w:val="258"/>
        </w:trPr>
        <w:tc>
          <w:tcPr>
            <w:tcW w:w="6062" w:type="dxa"/>
          </w:tcPr>
          <w:p w:rsidR="005B56C9" w:rsidRPr="007937E5" w:rsidRDefault="005B56C9" w:rsidP="000E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Учет обязательств хозяйствующего субъекта</w:t>
            </w:r>
          </w:p>
        </w:tc>
        <w:tc>
          <w:tcPr>
            <w:tcW w:w="4076" w:type="dxa"/>
          </w:tcPr>
          <w:p w:rsidR="005B56C9" w:rsidRPr="007937E5" w:rsidRDefault="006949F0" w:rsidP="000E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МСФО (IAS) 32 «Финансовые инструменты: представление»</w:t>
            </w:r>
          </w:p>
        </w:tc>
      </w:tr>
      <w:tr w:rsidR="005B56C9" w:rsidRPr="007937E5" w:rsidTr="007937E5">
        <w:trPr>
          <w:trHeight w:val="258"/>
        </w:trPr>
        <w:tc>
          <w:tcPr>
            <w:tcW w:w="6062" w:type="dxa"/>
          </w:tcPr>
          <w:p w:rsidR="005B56C9" w:rsidRPr="007937E5" w:rsidRDefault="005B56C9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Учет основных средств хозяйствующего субъекта</w:t>
            </w:r>
          </w:p>
        </w:tc>
        <w:tc>
          <w:tcPr>
            <w:tcW w:w="4076" w:type="dxa"/>
          </w:tcPr>
          <w:p w:rsidR="005B56C9" w:rsidRPr="007937E5" w:rsidRDefault="00293ADB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tooltip="Международный стандарт финансовой отчетности (IAS) 16 «Основные средства» (2015 год)" w:history="1">
              <w:r w:rsidRPr="007937E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МСФО (IAS) 16</w:t>
              </w:r>
            </w:hyperlink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«Основные средства»</w:t>
            </w:r>
          </w:p>
        </w:tc>
      </w:tr>
      <w:tr w:rsidR="005B56C9" w:rsidRPr="007937E5" w:rsidTr="007937E5">
        <w:trPr>
          <w:trHeight w:val="258"/>
        </w:trPr>
        <w:tc>
          <w:tcPr>
            <w:tcW w:w="6062" w:type="dxa"/>
          </w:tcPr>
          <w:p w:rsidR="005B56C9" w:rsidRPr="007937E5" w:rsidRDefault="005B56C9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Учетная политика хозяйствующего субъекта</w:t>
            </w:r>
          </w:p>
        </w:tc>
        <w:tc>
          <w:tcPr>
            <w:tcW w:w="4076" w:type="dxa"/>
          </w:tcPr>
          <w:p w:rsidR="005B56C9" w:rsidRPr="007937E5" w:rsidRDefault="000B52A4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tooltip="Международный стандарт финансовой отчетности (IAS) 8 «Учетная политика, изменения в бухгалтерских оценках и ошибки» (2015 год)" w:history="1">
              <w:r w:rsidRPr="007937E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МСФО (IAS) 8</w:t>
              </w:r>
            </w:hyperlink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«Учетная политика, изменения в бухгалтерских оценках и ошибки»</w:t>
            </w:r>
          </w:p>
        </w:tc>
      </w:tr>
      <w:tr w:rsidR="005B56C9" w:rsidRPr="007937E5" w:rsidTr="007937E5">
        <w:trPr>
          <w:trHeight w:val="243"/>
        </w:trPr>
        <w:tc>
          <w:tcPr>
            <w:tcW w:w="6062" w:type="dxa"/>
          </w:tcPr>
          <w:p w:rsidR="005B56C9" w:rsidRPr="007937E5" w:rsidRDefault="005B56C9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 xml:space="preserve">Учет готовой продукции и </w:t>
            </w:r>
            <w:proofErr w:type="gramStart"/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товаров</w:t>
            </w:r>
            <w:proofErr w:type="gramEnd"/>
            <w:r w:rsidRPr="007937E5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приобретенных хозяйствующего субъекта</w:t>
            </w:r>
          </w:p>
        </w:tc>
        <w:tc>
          <w:tcPr>
            <w:tcW w:w="4076" w:type="dxa"/>
          </w:tcPr>
          <w:p w:rsidR="005B56C9" w:rsidRPr="007937E5" w:rsidRDefault="000B52A4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tooltip="Международный стандарт финансовой отчетности (IAS) 2 «Запасы» (2015 год)" w:history="1">
              <w:r w:rsidRPr="007937E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МСФО (IAS) 2</w:t>
              </w:r>
            </w:hyperlink>
            <w:r w:rsidRPr="00793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«Запасы»</w:t>
            </w:r>
          </w:p>
        </w:tc>
      </w:tr>
      <w:tr w:rsidR="005B56C9" w:rsidRPr="007937E5" w:rsidTr="007937E5">
        <w:trPr>
          <w:trHeight w:val="258"/>
        </w:trPr>
        <w:tc>
          <w:tcPr>
            <w:tcW w:w="6062" w:type="dxa"/>
          </w:tcPr>
          <w:p w:rsidR="005B56C9" w:rsidRPr="007937E5" w:rsidRDefault="005B56C9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Учет денежных средств хозяйствующего субъекта</w:t>
            </w:r>
          </w:p>
        </w:tc>
        <w:tc>
          <w:tcPr>
            <w:tcW w:w="4076" w:type="dxa"/>
          </w:tcPr>
          <w:p w:rsidR="005B56C9" w:rsidRPr="007937E5" w:rsidRDefault="000B52A4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tooltip="Международный стандарт финансовой отчетности (IAS) 7 «Отчет о движении денежных средств» (2015 год)" w:history="1">
              <w:r w:rsidRPr="007937E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МСФО (IAS) 7</w:t>
              </w:r>
            </w:hyperlink>
            <w:r w:rsidRPr="007937E5">
              <w:rPr>
                <w:rStyle w:val="s0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Отчет о движении денежных средств»</w:t>
            </w:r>
          </w:p>
        </w:tc>
      </w:tr>
      <w:tr w:rsidR="005B56C9" w:rsidRPr="007937E5" w:rsidTr="007937E5">
        <w:trPr>
          <w:trHeight w:val="258"/>
        </w:trPr>
        <w:tc>
          <w:tcPr>
            <w:tcW w:w="6062" w:type="dxa"/>
          </w:tcPr>
          <w:p w:rsidR="005B56C9" w:rsidRPr="007937E5" w:rsidRDefault="005B56C9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Учет труда и заработной платы хозяйствующего субъекта</w:t>
            </w:r>
          </w:p>
        </w:tc>
        <w:tc>
          <w:tcPr>
            <w:tcW w:w="4076" w:type="dxa"/>
          </w:tcPr>
          <w:p w:rsidR="005B56C9" w:rsidRPr="007937E5" w:rsidRDefault="00293ADB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МСФО (IAS) 19 «Вознаграждения работникам»</w:t>
            </w:r>
          </w:p>
        </w:tc>
      </w:tr>
      <w:tr w:rsidR="005B56C9" w:rsidRPr="007937E5" w:rsidTr="007937E5">
        <w:trPr>
          <w:trHeight w:val="258"/>
        </w:trPr>
        <w:tc>
          <w:tcPr>
            <w:tcW w:w="6062" w:type="dxa"/>
          </w:tcPr>
          <w:p w:rsidR="005B56C9" w:rsidRPr="007937E5" w:rsidRDefault="005B56C9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Учет товарно-материальных ценностей хозяйствующего субъекта</w:t>
            </w:r>
          </w:p>
        </w:tc>
        <w:tc>
          <w:tcPr>
            <w:tcW w:w="4076" w:type="dxa"/>
          </w:tcPr>
          <w:p w:rsidR="005B56C9" w:rsidRPr="007937E5" w:rsidRDefault="00293ADB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tooltip="Международный стандарт финансовой отчетности (IAS) 2 «Запасы» (2015 год)" w:history="1">
              <w:r w:rsidRPr="007937E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МСФО (IAS) 2</w:t>
              </w:r>
            </w:hyperlink>
            <w:r w:rsidRPr="00793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«Запасы»</w:t>
            </w:r>
          </w:p>
        </w:tc>
      </w:tr>
      <w:tr w:rsidR="005B56C9" w:rsidRPr="007937E5" w:rsidTr="007937E5">
        <w:trPr>
          <w:trHeight w:val="243"/>
        </w:trPr>
        <w:tc>
          <w:tcPr>
            <w:tcW w:w="6062" w:type="dxa"/>
          </w:tcPr>
          <w:p w:rsidR="005B56C9" w:rsidRPr="007937E5" w:rsidRDefault="005B56C9" w:rsidP="000E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 xml:space="preserve">Учет нематериальных активов хозяйствующего субъекта </w:t>
            </w:r>
          </w:p>
        </w:tc>
        <w:tc>
          <w:tcPr>
            <w:tcW w:w="4076" w:type="dxa"/>
          </w:tcPr>
          <w:p w:rsidR="005B56C9" w:rsidRPr="007937E5" w:rsidRDefault="000B52A4" w:rsidP="000B5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МСФО (IAS) 38 «Нематериальные активы»</w:t>
            </w:r>
          </w:p>
        </w:tc>
      </w:tr>
      <w:tr w:rsidR="005B56C9" w:rsidRPr="007937E5" w:rsidTr="007937E5">
        <w:trPr>
          <w:trHeight w:val="243"/>
        </w:trPr>
        <w:tc>
          <w:tcPr>
            <w:tcW w:w="6062" w:type="dxa"/>
          </w:tcPr>
          <w:p w:rsidR="005B56C9" w:rsidRPr="007937E5" w:rsidRDefault="005B56C9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Учет расчетов с бюджетом хозяйствующего субъекта</w:t>
            </w:r>
          </w:p>
        </w:tc>
        <w:tc>
          <w:tcPr>
            <w:tcW w:w="4076" w:type="dxa"/>
          </w:tcPr>
          <w:p w:rsidR="005B56C9" w:rsidRPr="007937E5" w:rsidRDefault="007937E5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МСФО (IAS) 32 «Финансовые инструменты: представление»</w:t>
            </w:r>
          </w:p>
        </w:tc>
      </w:tr>
      <w:tr w:rsidR="005B56C9" w:rsidRPr="007937E5" w:rsidTr="007937E5">
        <w:trPr>
          <w:trHeight w:val="258"/>
        </w:trPr>
        <w:tc>
          <w:tcPr>
            <w:tcW w:w="6062" w:type="dxa"/>
          </w:tcPr>
          <w:p w:rsidR="005B56C9" w:rsidRPr="007937E5" w:rsidRDefault="005B56C9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Учет  расчетных отношений (дебиторская задолженность) хозяйствующего субъекта</w:t>
            </w:r>
          </w:p>
        </w:tc>
        <w:tc>
          <w:tcPr>
            <w:tcW w:w="4076" w:type="dxa"/>
          </w:tcPr>
          <w:p w:rsidR="005B56C9" w:rsidRPr="007937E5" w:rsidRDefault="007937E5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МСФО (IAS) 32 «Финансовые инструменты: представление»</w:t>
            </w:r>
          </w:p>
        </w:tc>
      </w:tr>
      <w:tr w:rsidR="005B56C9" w:rsidRPr="007937E5" w:rsidTr="007937E5">
        <w:trPr>
          <w:trHeight w:val="258"/>
        </w:trPr>
        <w:tc>
          <w:tcPr>
            <w:tcW w:w="6062" w:type="dxa"/>
          </w:tcPr>
          <w:p w:rsidR="005B56C9" w:rsidRPr="007937E5" w:rsidRDefault="005B56C9" w:rsidP="000E7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 xml:space="preserve">Учет собственного капитала хозяйствующего субъекта </w:t>
            </w:r>
          </w:p>
        </w:tc>
        <w:tc>
          <w:tcPr>
            <w:tcW w:w="4076" w:type="dxa"/>
          </w:tcPr>
          <w:p w:rsidR="005B56C9" w:rsidRPr="007937E5" w:rsidRDefault="006949F0" w:rsidP="00694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МСФО (IAS) 1 «Представление финансовой отчетности»</w:t>
            </w:r>
          </w:p>
        </w:tc>
      </w:tr>
      <w:tr w:rsidR="000B52A4" w:rsidRPr="007937E5" w:rsidTr="007937E5">
        <w:trPr>
          <w:trHeight w:val="243"/>
        </w:trPr>
        <w:tc>
          <w:tcPr>
            <w:tcW w:w="6062" w:type="dxa"/>
          </w:tcPr>
          <w:p w:rsidR="000B52A4" w:rsidRPr="007937E5" w:rsidRDefault="000B52A4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Финансовая отчетность хозяйствующего субъекта</w:t>
            </w:r>
          </w:p>
        </w:tc>
        <w:tc>
          <w:tcPr>
            <w:tcW w:w="4076" w:type="dxa"/>
          </w:tcPr>
          <w:p w:rsidR="000B52A4" w:rsidRPr="007937E5" w:rsidRDefault="000B52A4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tooltip="Международный стандарт финансовой отчетности (IAS) 1 «Представление финансовой отчетности» (2015 г.)" w:history="1">
              <w:r w:rsidRPr="007937E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МСФО (IAS) 1</w:t>
              </w:r>
            </w:hyperlink>
          </w:p>
          <w:p w:rsidR="000B52A4" w:rsidRPr="007937E5" w:rsidRDefault="000B52A4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Style w:val="s0"/>
                <w:rFonts w:ascii="Times New Roman" w:hAnsi="Times New Roman" w:cs="Times New Roman"/>
                <w:sz w:val="28"/>
                <w:szCs w:val="28"/>
              </w:rPr>
              <w:t>«Представление финансовой отчетности»</w:t>
            </w:r>
          </w:p>
        </w:tc>
      </w:tr>
      <w:tr w:rsidR="000B52A4" w:rsidRPr="007937E5" w:rsidTr="007937E5">
        <w:trPr>
          <w:trHeight w:val="243"/>
        </w:trPr>
        <w:tc>
          <w:tcPr>
            <w:tcW w:w="6062" w:type="dxa"/>
          </w:tcPr>
          <w:p w:rsidR="000B52A4" w:rsidRPr="007937E5" w:rsidRDefault="000B52A4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</w:rPr>
              <w:t>Учет финансовых инвестиций хозяйствующего субъекта</w:t>
            </w:r>
          </w:p>
        </w:tc>
        <w:tc>
          <w:tcPr>
            <w:tcW w:w="4076" w:type="dxa"/>
          </w:tcPr>
          <w:p w:rsidR="000B52A4" w:rsidRPr="007937E5" w:rsidRDefault="00293ADB" w:rsidP="000E77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МСФО (IAS) 28 «Инвестиции в ассоциированные организации и совместные предприятия</w:t>
            </w:r>
            <w:proofErr w:type="gramStart"/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»М</w:t>
            </w:r>
            <w:proofErr w:type="gramEnd"/>
            <w:r w:rsidRPr="007937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СФО (IAS) 40 «Инвестиционное имущество»</w:t>
            </w:r>
          </w:p>
        </w:tc>
      </w:tr>
    </w:tbl>
    <w:p w:rsidR="005B56C9" w:rsidRDefault="005B56C9"/>
    <w:sectPr w:rsidR="005B56C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B56C9"/>
    <w:rsid w:val="000B52A4"/>
    <w:rsid w:val="000E5821"/>
    <w:rsid w:val="00190430"/>
    <w:rsid w:val="00293ADB"/>
    <w:rsid w:val="002C2867"/>
    <w:rsid w:val="00543310"/>
    <w:rsid w:val="005B56C9"/>
    <w:rsid w:val="006949F0"/>
    <w:rsid w:val="00782DC3"/>
    <w:rsid w:val="00793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5B56C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B56C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B56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2">
    <w:name w:val="s2"/>
    <w:basedOn w:val="a0"/>
    <w:rsid w:val="000B52A4"/>
  </w:style>
  <w:style w:type="character" w:styleId="a4">
    <w:name w:val="Hyperlink"/>
    <w:basedOn w:val="a0"/>
    <w:uiPriority w:val="99"/>
    <w:semiHidden/>
    <w:unhideWhenUsed/>
    <w:rsid w:val="000B52A4"/>
    <w:rPr>
      <w:color w:val="0000FF"/>
      <w:u w:val="single"/>
    </w:rPr>
  </w:style>
  <w:style w:type="character" w:customStyle="1" w:styleId="s0">
    <w:name w:val="s0"/>
    <w:basedOn w:val="a0"/>
    <w:rsid w:val="000B52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zakon.kz/Document/?doc_id=300035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nline.zakon.kz/Document/?doc_id=105178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nline.zakon.kz/Document/?doc_id=3000354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nline.zakon.kz/Document/?doc_id=105179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online.zakon.kz/Document/?doc_id=1051802" TargetMode="External"/><Relationship Id="rId9" Type="http://schemas.openxmlformats.org/officeDocument/2006/relationships/hyperlink" Target="https://online.zakon.kz/Document/?doc_id=10517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2020-09-17T05:06:00Z</dcterms:created>
  <dcterms:modified xsi:type="dcterms:W3CDTF">2020-09-17T05:59:00Z</dcterms:modified>
</cp:coreProperties>
</file>